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i w:val="0"/>
          <w:caps w:val="0"/>
          <w:color w:val="333333"/>
          <w:spacing w:val="0"/>
          <w:sz w:val="36"/>
          <w:szCs w:val="36"/>
        </w:rPr>
      </w:pPr>
      <w:r>
        <w:rPr>
          <w:rFonts w:hint="eastAsia" w:ascii="微软雅黑" w:hAnsi="微软雅黑" w:eastAsia="微软雅黑" w:cs="微软雅黑"/>
          <w:b/>
          <w:i w:val="0"/>
          <w:caps w:val="0"/>
          <w:color w:val="333333"/>
          <w:spacing w:val="0"/>
          <w:sz w:val="36"/>
          <w:szCs w:val="36"/>
          <w:bdr w:val="none" w:color="auto" w:sz="0" w:space="0"/>
          <w:shd w:val="clear" w:fill="FFFFFF"/>
        </w:rPr>
        <w:t>三河市农业机械管理局2016年预算公开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30" w:firstLineChars="200"/>
        <w:rPr>
          <w:rFonts w:ascii="Verdana" w:hAnsi="Verdana" w:eastAsia="Verdana" w:cs="Verdana"/>
          <w:color w:val="484747"/>
          <w:sz w:val="21"/>
          <w:szCs w:val="21"/>
        </w:rPr>
      </w:pPr>
      <w:bookmarkStart w:id="0" w:name="_GoBack"/>
      <w:bookmarkEnd w:id="0"/>
      <w:r>
        <w:rPr>
          <w:rFonts w:ascii="仿宋_GB2312" w:hAnsi="Verdana" w:eastAsia="仿宋_GB2312" w:cs="仿宋_GB2312"/>
          <w:i w:val="0"/>
          <w:caps w:val="0"/>
          <w:color w:val="484747"/>
          <w:spacing w:val="0"/>
          <w:sz w:val="31"/>
          <w:szCs w:val="31"/>
          <w:bdr w:val="none" w:color="auto" w:sz="0" w:space="0"/>
          <w:shd w:val="clear" w:fill="FFFFFF"/>
        </w:rPr>
        <w:t>按照《预算法》的有关规定和</w:t>
      </w:r>
      <w:r>
        <w:rPr>
          <w:rFonts w:hint="default" w:ascii="仿宋_GB2312" w:hAnsi="Verdana" w:eastAsia="仿宋_GB2312" w:cs="仿宋_GB2312"/>
          <w:i w:val="0"/>
          <w:caps w:val="0"/>
          <w:color w:val="484747"/>
          <w:spacing w:val="0"/>
          <w:sz w:val="31"/>
          <w:szCs w:val="31"/>
          <w:bdr w:val="none" w:color="auto" w:sz="0" w:space="0"/>
          <w:shd w:val="clear" w:fill="FFFFFF"/>
        </w:rPr>
        <w:t>2016年预算批复，现将本部门2016年预算公开如下：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rPr>
          <w:rFonts w:hint="default" w:ascii="Verdana" w:hAnsi="Verdana" w:eastAsia="Verdana" w:cs="Verdana"/>
          <w:color w:val="484747"/>
          <w:sz w:val="21"/>
          <w:szCs w:val="21"/>
        </w:rPr>
      </w:pPr>
      <w:r>
        <w:rPr>
          <w:rStyle w:val="6"/>
          <w:rFonts w:hint="default" w:ascii="仿宋_GB2312" w:hAnsi="Verdana" w:eastAsia="仿宋_GB2312" w:cs="仿宋_GB2312"/>
          <w:b/>
          <w:i w:val="0"/>
          <w:caps w:val="0"/>
          <w:color w:val="484747"/>
          <w:spacing w:val="0"/>
          <w:sz w:val="31"/>
          <w:szCs w:val="31"/>
          <w:bdr w:val="none" w:color="auto" w:sz="0" w:space="0"/>
          <w:shd w:val="clear" w:fill="FFFFFF"/>
        </w:rPr>
        <w:t>一、部门主要职责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default" w:ascii="Verdana" w:hAnsi="Verdana" w:eastAsia="Verdana" w:cs="Verdana"/>
          <w:color w:val="484747"/>
          <w:sz w:val="21"/>
          <w:szCs w:val="21"/>
        </w:rPr>
      </w:pPr>
      <w:r>
        <w:rPr>
          <w:rFonts w:hint="default" w:ascii="仿宋_GB2312" w:hAnsi="Verdana" w:eastAsia="仿宋_GB2312" w:cs="仿宋_GB2312"/>
          <w:i w:val="0"/>
          <w:caps w:val="0"/>
          <w:color w:val="484747"/>
          <w:spacing w:val="0"/>
          <w:sz w:val="31"/>
          <w:szCs w:val="31"/>
          <w:bdr w:val="none" w:color="auto" w:sz="0" w:space="0"/>
          <w:shd w:val="clear" w:fill="FFFFFF"/>
        </w:rPr>
        <w:t>贯彻执行国家、省关于农业机械化、设施农业工程、农用航空业务的方针、政策及法令、法规，研究提出全市农业机械化、设施农业工程、农用航空业务的发展战略及中长期规划、计划并组织实施；负责制定农业机械化政策规定、管理制度、作业与服务规范，做好安全监理；负责对全市农机作业和服务市场进行宏观管理；负责对全市农机修造和基层农机维修网点实行行业管理；组织实施拖拉机、联合收割机、变型运输拖拉机、农用运输车等农业机械的产品检验、鉴定和认证管理工作，参与调查分析和处理重大农机产品和修理质量事故；指导全市农机社会化服务体系建设；负责全市农机科技项目的实施。承担关键农时季节农机作业组织，农机管理与操作人员技术和业务培训；负责农机新技术、新机具推广，农机科研、生产制造和供应；负责全市农机化管理信息统计；承办市委、市政府交办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555"/>
        <w:rPr>
          <w:rFonts w:hint="default" w:ascii="Verdana" w:hAnsi="Verdana" w:eastAsia="Verdana" w:cs="Verdana"/>
          <w:color w:val="484747"/>
          <w:sz w:val="21"/>
          <w:szCs w:val="21"/>
        </w:rPr>
      </w:pPr>
      <w:r>
        <w:rPr>
          <w:rStyle w:val="6"/>
          <w:rFonts w:hint="default" w:ascii="仿宋_GB2312" w:hAnsi="Verdana" w:eastAsia="仿宋_GB2312" w:cs="仿宋_GB2312"/>
          <w:b/>
          <w:i w:val="0"/>
          <w:caps w:val="0"/>
          <w:color w:val="484747"/>
          <w:spacing w:val="0"/>
          <w:sz w:val="31"/>
          <w:szCs w:val="31"/>
          <w:bdr w:val="none" w:color="auto" w:sz="0" w:space="0"/>
          <w:shd w:val="clear" w:fill="FFFFFF"/>
        </w:rPr>
        <w:t>职责分类绩效目标</w:t>
      </w:r>
      <w:r>
        <w:rPr>
          <w:rFonts w:hint="default" w:ascii="仿宋_GB2312" w:hAnsi="Verdana" w:eastAsia="仿宋_GB2312" w:cs="仿宋_GB2312"/>
          <w:i w:val="0"/>
          <w:caps w:val="0"/>
          <w:color w:val="484747"/>
          <w:spacing w:val="0"/>
          <w:sz w:val="31"/>
          <w:szCs w:val="31"/>
          <w:bdr w:val="none" w:color="auto" w:sz="0" w:space="0"/>
          <w:shd w:val="clear" w:fill="FFFFFF"/>
        </w:rPr>
        <w:t>：一是农业科技支撑和公共服务，负责全市农机科技项目的实施，承担关键农时季节农机作业组织、农机管理与操作人员技术和业务培训，负责农机新技术、新机具推广，农机科研、生产制造和供应；职责目标是促进农业现代化，提高农业劳动生产率，增加农民收入。二是农机技术推广及技术技能培训，以提高农业机械化水平，推动农业生产向现代化农业发展，职责目标是促进农业现代化，提高农业生产率，增加农民收入；三是农机号牌发放、年检，农机驾驶员的考核、发证、年审，对农机驾驶员进行考核、发证，确保农机户安全驾驶、安全生产，职责目标是保证农机户持证上岗、安全生产；四是安全生产农机政务管理，开展对全市农机作业和服务市场的宏观管理，开展对农机各项政策落实，保证各项党政工作的顺利开展，职责目标是保障各项农机工作的正常运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Verdana" w:hAnsi="Verdana" w:eastAsia="Verdana" w:cs="Verdana"/>
          <w:color w:val="484747"/>
          <w:sz w:val="21"/>
          <w:szCs w:val="21"/>
        </w:rPr>
      </w:pPr>
      <w:r>
        <w:rPr>
          <w:rStyle w:val="6"/>
          <w:rFonts w:hint="default" w:ascii="仿宋_GB2312" w:hAnsi="Verdana" w:eastAsia="仿宋_GB2312" w:cs="仿宋_GB2312"/>
          <w:b/>
          <w:i w:val="0"/>
          <w:caps w:val="0"/>
          <w:color w:val="484747"/>
          <w:spacing w:val="0"/>
          <w:sz w:val="31"/>
          <w:szCs w:val="31"/>
          <w:bdr w:val="none" w:color="auto" w:sz="0" w:space="0"/>
          <w:shd w:val="clear" w:fill="FFFFFF"/>
        </w:rPr>
        <w:t>二、部门机构设置及构成</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071"/>
        <w:gridCol w:w="893"/>
        <w:gridCol w:w="1246"/>
        <w:gridCol w:w="2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blHeader/>
        </w:trPr>
        <w:tc>
          <w:tcPr>
            <w:tcW w:w="414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Style w:val="6"/>
                <w:rFonts w:hint="default" w:ascii="仿宋_GB2312" w:eastAsia="仿宋_GB2312" w:cs="仿宋_GB2312"/>
                <w:b/>
                <w:sz w:val="31"/>
                <w:szCs w:val="31"/>
                <w:bdr w:val="none" w:color="auto" w:sz="0" w:space="0"/>
              </w:rPr>
              <w:t>单位名称</w:t>
            </w:r>
          </w:p>
        </w:tc>
        <w:tc>
          <w:tcPr>
            <w:tcW w:w="90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Style w:val="6"/>
                <w:rFonts w:hint="default" w:ascii="仿宋_GB2312" w:eastAsia="仿宋_GB2312" w:cs="仿宋_GB2312"/>
                <w:b/>
                <w:sz w:val="31"/>
                <w:szCs w:val="31"/>
                <w:bdr w:val="none" w:color="auto" w:sz="0" w:space="0"/>
              </w:rPr>
              <w:t>单位性质</w:t>
            </w:r>
          </w:p>
        </w:tc>
        <w:tc>
          <w:tcPr>
            <w:tcW w:w="1260" w:type="dxa"/>
            <w:tcBorders>
              <w:top w:val="nil"/>
              <w:left w:val="nil"/>
              <w:bottom w:val="nil"/>
              <w:right w:val="nil"/>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Style w:val="6"/>
                <w:rFonts w:hint="default" w:ascii="仿宋_GB2312" w:eastAsia="仿宋_GB2312" w:cs="仿宋_GB2312"/>
                <w:b/>
                <w:sz w:val="31"/>
                <w:szCs w:val="31"/>
                <w:bdr w:val="none" w:color="auto" w:sz="0" w:space="0"/>
              </w:rPr>
              <w:t>单位规格</w:t>
            </w:r>
          </w:p>
        </w:tc>
        <w:tc>
          <w:tcPr>
            <w:tcW w:w="234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Style w:val="6"/>
                <w:rFonts w:hint="default" w:ascii="仿宋_GB2312" w:eastAsia="仿宋_GB2312" w:cs="仿宋_GB2312"/>
                <w:b/>
                <w:sz w:val="31"/>
                <w:szCs w:val="31"/>
                <w:bdr w:val="none" w:color="auto" w:sz="0" w:space="0"/>
              </w:rPr>
              <w:t>经费保障形式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rPr>
        <w:tc>
          <w:tcPr>
            <w:tcW w:w="414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eastAsia="仿宋_GB2312" w:cs="仿宋_GB2312"/>
                <w:sz w:val="31"/>
                <w:szCs w:val="31"/>
                <w:bdr w:val="none" w:color="auto" w:sz="0" w:space="0"/>
              </w:rPr>
              <w:t>三河市农业机械管理局机关</w:t>
            </w:r>
          </w:p>
        </w:tc>
        <w:tc>
          <w:tcPr>
            <w:tcW w:w="90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default" w:ascii="仿宋_GB2312" w:eastAsia="仿宋_GB2312" w:cs="仿宋_GB2312"/>
                <w:sz w:val="31"/>
                <w:szCs w:val="31"/>
                <w:bdr w:val="none" w:color="auto" w:sz="0" w:space="0"/>
              </w:rPr>
              <w:t>事业</w:t>
            </w:r>
          </w:p>
        </w:tc>
        <w:tc>
          <w:tcPr>
            <w:tcW w:w="1260" w:type="dxa"/>
            <w:tcBorders>
              <w:top w:val="nil"/>
              <w:left w:val="nil"/>
              <w:bottom w:val="nil"/>
              <w:right w:val="nil"/>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default" w:ascii="仿宋_GB2312" w:eastAsia="仿宋_GB2312" w:cs="仿宋_GB2312"/>
                <w:sz w:val="31"/>
                <w:szCs w:val="31"/>
                <w:bdr w:val="none" w:color="auto" w:sz="0" w:space="0"/>
              </w:rPr>
              <w:t>正科级</w:t>
            </w:r>
          </w:p>
        </w:tc>
        <w:tc>
          <w:tcPr>
            <w:tcW w:w="234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eastAsia="仿宋_GB2312" w:cs="仿宋_GB2312"/>
                <w:sz w:val="31"/>
                <w:szCs w:val="31"/>
                <w:bdr w:val="none" w:color="auto" w:sz="0" w:space="0"/>
              </w:rPr>
              <w:t>财政性资金基本保证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rPr>
        <w:tc>
          <w:tcPr>
            <w:tcW w:w="414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eastAsia="仿宋_GB2312" w:cs="仿宋_GB2312"/>
                <w:sz w:val="31"/>
                <w:szCs w:val="31"/>
                <w:bdr w:val="none" w:color="auto" w:sz="0" w:space="0"/>
              </w:rPr>
              <w:t>河北省三河市农机监理站</w:t>
            </w:r>
          </w:p>
        </w:tc>
        <w:tc>
          <w:tcPr>
            <w:tcW w:w="90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default" w:ascii="仿宋_GB2312" w:eastAsia="仿宋_GB2312" w:cs="仿宋_GB2312"/>
                <w:sz w:val="31"/>
                <w:szCs w:val="31"/>
                <w:bdr w:val="none" w:color="auto" w:sz="0" w:space="0"/>
              </w:rPr>
              <w:t>事业</w:t>
            </w:r>
          </w:p>
        </w:tc>
        <w:tc>
          <w:tcPr>
            <w:tcW w:w="1260" w:type="dxa"/>
            <w:tcBorders>
              <w:top w:val="nil"/>
              <w:left w:val="nil"/>
              <w:bottom w:val="nil"/>
              <w:right w:val="nil"/>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default" w:ascii="仿宋_GB2312" w:eastAsia="仿宋_GB2312" w:cs="仿宋_GB2312"/>
                <w:sz w:val="31"/>
                <w:szCs w:val="31"/>
                <w:bdr w:val="none" w:color="auto" w:sz="0" w:space="0"/>
              </w:rPr>
              <w:t>其他</w:t>
            </w:r>
          </w:p>
        </w:tc>
        <w:tc>
          <w:tcPr>
            <w:tcW w:w="234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eastAsia="仿宋_GB2312" w:cs="仿宋_GB2312"/>
                <w:sz w:val="31"/>
                <w:szCs w:val="31"/>
                <w:bdr w:val="none" w:color="auto" w:sz="0" w:space="0"/>
              </w:rPr>
              <w:t>财政性资金定额或定项补助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rPr>
        <w:tc>
          <w:tcPr>
            <w:tcW w:w="4140" w:type="dxa"/>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eastAsia="仿宋_GB2312" w:cs="仿宋_GB2312"/>
                <w:sz w:val="31"/>
                <w:szCs w:val="31"/>
                <w:bdr w:val="none" w:color="auto" w:sz="0" w:space="0"/>
              </w:rPr>
              <w:t>三河市农业机械公司</w:t>
            </w:r>
          </w:p>
        </w:tc>
        <w:tc>
          <w:tcPr>
            <w:tcW w:w="900"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c>
          <w:tcPr>
            <w:tcW w:w="1260" w:type="dxa"/>
            <w:tcBorders>
              <w:top w:val="nil"/>
              <w:left w:val="nil"/>
              <w:bottom w:val="nil"/>
              <w:right w:val="nil"/>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rPr>
                <w:sz w:val="18"/>
                <w:szCs w:val="18"/>
              </w:rPr>
            </w:pPr>
          </w:p>
        </w:tc>
        <w:tc>
          <w:tcPr>
            <w:tcW w:w="2340"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sz w:val="18"/>
                <w:szCs w:val="18"/>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rPr>
          <w:rFonts w:hint="default" w:ascii="Verdana" w:hAnsi="Verdana" w:eastAsia="Verdana" w:cs="Verdana"/>
          <w:color w:val="484747"/>
          <w:sz w:val="21"/>
          <w:szCs w:val="21"/>
        </w:rPr>
      </w:pPr>
      <w:r>
        <w:rPr>
          <w:rStyle w:val="6"/>
          <w:rFonts w:hint="default" w:ascii="仿宋_GB2312" w:hAnsi="Verdana" w:eastAsia="仿宋_GB2312" w:cs="仿宋_GB2312"/>
          <w:b/>
          <w:i w:val="0"/>
          <w:caps w:val="0"/>
          <w:color w:val="484747"/>
          <w:spacing w:val="0"/>
          <w:sz w:val="31"/>
          <w:szCs w:val="31"/>
          <w:bdr w:val="none" w:color="auto" w:sz="0" w:space="0"/>
          <w:shd w:val="clear" w:fill="FFFFFF"/>
        </w:rPr>
        <w:t>三、部门预算说明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Verdana" w:hAnsi="Verdana" w:eastAsia="Verdana" w:cs="Verdana"/>
          <w:color w:val="484747"/>
          <w:sz w:val="21"/>
          <w:szCs w:val="21"/>
        </w:rPr>
      </w:pPr>
      <w:r>
        <w:rPr>
          <w:rFonts w:hint="default" w:ascii="仿宋_GB2312" w:hAnsi="Verdana" w:eastAsia="仿宋_GB2312" w:cs="仿宋_GB2312"/>
          <w:i w:val="0"/>
          <w:caps w:val="0"/>
          <w:color w:val="484747"/>
          <w:spacing w:val="0"/>
          <w:sz w:val="31"/>
          <w:szCs w:val="31"/>
          <w:bdr w:val="none" w:color="auto" w:sz="0" w:space="0"/>
          <w:shd w:val="clear" w:fill="FFFFFF"/>
        </w:rPr>
        <w:t>按照预算管理有关规定，我部门机关及所属单位的全部收入和支出都包含在部门预算中。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Verdana" w:hAnsi="Verdana" w:eastAsia="Verdana" w:cs="Verdana"/>
          <w:color w:val="484747"/>
          <w:sz w:val="21"/>
          <w:szCs w:val="21"/>
        </w:rPr>
      </w:pPr>
      <w:r>
        <w:rPr>
          <w:rFonts w:hint="default" w:ascii="仿宋_GB2312" w:hAnsi="Verdana" w:eastAsia="仿宋_GB2312" w:cs="仿宋_GB2312"/>
          <w:i w:val="0"/>
          <w:caps w:val="0"/>
          <w:color w:val="484747"/>
          <w:spacing w:val="0"/>
          <w:sz w:val="31"/>
          <w:szCs w:val="31"/>
          <w:bdr w:val="none" w:color="auto" w:sz="0" w:space="0"/>
          <w:shd w:val="clear" w:fill="FFFFFF"/>
        </w:rPr>
        <w:t>（一）收入预算说明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Verdana" w:hAnsi="Verdana" w:eastAsia="Verdana" w:cs="Verdana"/>
          <w:color w:val="484747"/>
          <w:sz w:val="21"/>
          <w:szCs w:val="21"/>
        </w:rPr>
      </w:pPr>
      <w:r>
        <w:rPr>
          <w:rFonts w:hint="default" w:ascii="仿宋_GB2312" w:hAnsi="Verdana" w:eastAsia="仿宋_GB2312" w:cs="仿宋_GB2312"/>
          <w:i w:val="0"/>
          <w:caps w:val="0"/>
          <w:color w:val="484747"/>
          <w:spacing w:val="0"/>
          <w:sz w:val="31"/>
          <w:szCs w:val="31"/>
          <w:bdr w:val="none" w:color="auto" w:sz="0" w:space="0"/>
          <w:shd w:val="clear" w:fill="FFFFFF"/>
        </w:rPr>
        <w:t>反映本部门当年全部收入。2016年预算收入1998.07 万元，其中：一般公共预算拨款收入1998.07万元。我部门2016年预算未涉及政府性基金预算（国有资本经营收支预算）”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Verdana" w:hAnsi="Verdana" w:eastAsia="Verdana" w:cs="Verdana"/>
          <w:color w:val="484747"/>
          <w:sz w:val="21"/>
          <w:szCs w:val="21"/>
        </w:rPr>
      </w:pPr>
      <w:r>
        <w:rPr>
          <w:rFonts w:hint="default" w:ascii="仿宋_GB2312" w:hAnsi="Verdana" w:eastAsia="仿宋_GB2312" w:cs="仿宋_GB2312"/>
          <w:i w:val="0"/>
          <w:caps w:val="0"/>
          <w:color w:val="484747"/>
          <w:spacing w:val="0"/>
          <w:sz w:val="31"/>
          <w:szCs w:val="31"/>
          <w:bdr w:val="none" w:color="auto" w:sz="0" w:space="0"/>
          <w:shd w:val="clear" w:fill="FFFFFF"/>
        </w:rPr>
        <w:t>（二）支出预算说明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Verdana" w:hAnsi="Verdana" w:eastAsia="Verdana" w:cs="Verdana"/>
          <w:color w:val="484747"/>
          <w:sz w:val="21"/>
          <w:szCs w:val="21"/>
        </w:rPr>
      </w:pPr>
      <w:r>
        <w:rPr>
          <w:rFonts w:hint="default" w:ascii="仿宋_GB2312" w:hAnsi="Verdana" w:eastAsia="仿宋_GB2312" w:cs="仿宋_GB2312"/>
          <w:i w:val="0"/>
          <w:caps w:val="0"/>
          <w:color w:val="484747"/>
          <w:spacing w:val="0"/>
          <w:sz w:val="31"/>
          <w:szCs w:val="31"/>
          <w:bdr w:val="none" w:color="auto" w:sz="0" w:space="0"/>
          <w:shd w:val="clear" w:fill="FFFFFF"/>
        </w:rPr>
        <w:t>反映本部门预算中支出预算的总体情况。2016年支出预算1998.07万元，其中基本支出808.72万元，包括人员经费和日常公用经费；项目支出1189.35万元，主要包括：中央财政提前通知转移支付资金800.71万元，农机购置补贴配套资金90万元，三夏三秋等业务经费103.64万元，解决历史遗留问题15万元，农机驾校弥补历史亏欠资金180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Verdana" w:hAnsi="Verdana" w:eastAsia="Verdana" w:cs="Verdana"/>
          <w:color w:val="484747"/>
          <w:sz w:val="21"/>
          <w:szCs w:val="21"/>
        </w:rPr>
      </w:pPr>
      <w:r>
        <w:rPr>
          <w:rFonts w:hint="default" w:ascii="仿宋_GB2312" w:hAnsi="Verdana" w:eastAsia="仿宋_GB2312" w:cs="仿宋_GB2312"/>
          <w:i w:val="0"/>
          <w:caps w:val="0"/>
          <w:color w:val="484747"/>
          <w:spacing w:val="0"/>
          <w:sz w:val="31"/>
          <w:szCs w:val="31"/>
          <w:bdr w:val="none" w:color="auto" w:sz="0" w:space="0"/>
          <w:shd w:val="clear" w:fill="FFFFFF"/>
        </w:rPr>
        <w:t>（三）收支预算比上年增减情况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Verdana" w:hAnsi="Verdana" w:eastAsia="Verdana" w:cs="Verdana"/>
          <w:color w:val="484747"/>
          <w:sz w:val="21"/>
          <w:szCs w:val="21"/>
        </w:rPr>
      </w:pPr>
      <w:r>
        <w:rPr>
          <w:rFonts w:hint="default" w:ascii="仿宋_GB2312" w:hAnsi="Verdana" w:eastAsia="仿宋_GB2312" w:cs="仿宋_GB2312"/>
          <w:i w:val="0"/>
          <w:caps w:val="0"/>
          <w:color w:val="484747"/>
          <w:spacing w:val="0"/>
          <w:sz w:val="31"/>
          <w:szCs w:val="31"/>
          <w:bdr w:val="none" w:color="auto" w:sz="0" w:space="0"/>
          <w:shd w:val="clear" w:fill="FFFFFF"/>
        </w:rPr>
        <w:t>2016年本部门预算收支安排1998.07万元，较2015年预算减少250.2 万元，主要减少原因是项目经费减少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rPr>
          <w:rFonts w:hint="default" w:ascii="Verdana" w:hAnsi="Verdana" w:eastAsia="Verdana" w:cs="Verdana"/>
          <w:color w:val="484747"/>
          <w:sz w:val="21"/>
          <w:szCs w:val="21"/>
        </w:rPr>
      </w:pPr>
      <w:r>
        <w:rPr>
          <w:rStyle w:val="6"/>
          <w:rFonts w:hint="default" w:ascii="仿宋_GB2312" w:hAnsi="Verdana" w:eastAsia="仿宋_GB2312" w:cs="仿宋_GB2312"/>
          <w:b/>
          <w:i w:val="0"/>
          <w:caps w:val="0"/>
          <w:color w:val="484747"/>
          <w:spacing w:val="0"/>
          <w:sz w:val="31"/>
          <w:szCs w:val="31"/>
          <w:bdr w:val="none" w:color="auto" w:sz="0" w:space="0"/>
          <w:shd w:val="clear" w:fill="FFFFFF"/>
        </w:rPr>
        <w:t>四、机关运行经费的安排情况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Verdana" w:hAnsi="Verdana" w:eastAsia="Verdana" w:cs="Verdana"/>
          <w:color w:val="484747"/>
          <w:sz w:val="21"/>
          <w:szCs w:val="21"/>
        </w:rPr>
      </w:pPr>
      <w:r>
        <w:rPr>
          <w:rFonts w:hint="default" w:ascii="仿宋_GB2312" w:hAnsi="Verdana" w:eastAsia="仿宋_GB2312" w:cs="仿宋_GB2312"/>
          <w:i w:val="0"/>
          <w:caps w:val="0"/>
          <w:color w:val="484747"/>
          <w:spacing w:val="0"/>
          <w:sz w:val="31"/>
          <w:szCs w:val="31"/>
          <w:bdr w:val="none" w:color="auto" w:sz="0" w:space="0"/>
          <w:shd w:val="clear" w:fill="FFFFFF"/>
        </w:rPr>
        <w:t>2016年本部门机关运行经费（日常公用经费）预算安排28.47万元，主要用于机关的日常运转，主要是办公费、水电费、邮电费及公车维护运行费的支出。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rPr>
          <w:rFonts w:hint="default" w:ascii="Verdana" w:hAnsi="Verdana" w:eastAsia="Verdana" w:cs="Verdana"/>
          <w:color w:val="484747"/>
          <w:sz w:val="21"/>
          <w:szCs w:val="21"/>
        </w:rPr>
      </w:pPr>
      <w:r>
        <w:rPr>
          <w:rStyle w:val="6"/>
          <w:rFonts w:hint="default" w:ascii="仿宋_GB2312" w:hAnsi="Verdana" w:eastAsia="仿宋_GB2312" w:cs="仿宋_GB2312"/>
          <w:b/>
          <w:i w:val="0"/>
          <w:caps w:val="0"/>
          <w:color w:val="484747"/>
          <w:spacing w:val="0"/>
          <w:sz w:val="31"/>
          <w:szCs w:val="31"/>
          <w:bdr w:val="none" w:color="auto" w:sz="0" w:space="0"/>
          <w:shd w:val="clear" w:fill="FFFFFF"/>
        </w:rPr>
        <w:t>五、“三公”经费增减变化原因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Verdana" w:hAnsi="Verdana" w:eastAsia="Verdana" w:cs="Verdana"/>
          <w:color w:val="484747"/>
          <w:sz w:val="21"/>
          <w:szCs w:val="21"/>
        </w:rPr>
      </w:pPr>
      <w:r>
        <w:rPr>
          <w:rFonts w:hint="default" w:ascii="仿宋_GB2312" w:hAnsi="Verdana" w:eastAsia="仿宋_GB2312" w:cs="仿宋_GB2312"/>
          <w:i w:val="0"/>
          <w:caps w:val="0"/>
          <w:color w:val="484747"/>
          <w:spacing w:val="0"/>
          <w:sz w:val="31"/>
          <w:szCs w:val="31"/>
          <w:bdr w:val="none" w:color="auto" w:sz="0" w:space="0"/>
          <w:shd w:val="clear" w:fill="FFFFFF"/>
        </w:rPr>
        <w:t>2016年本部门“三公”经费预算较2015年压减0.75万元，主要减少原因是要求工作人员在实际工作中严格落实中央八项规定要求，厉行节约，反对浪费，严格公车管理，严禁超标准公款接待，尽量减少三公经费支出。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rPr>
          <w:rFonts w:hint="default" w:ascii="Verdana" w:hAnsi="Verdana" w:eastAsia="Verdana" w:cs="Verdana"/>
          <w:color w:val="484747"/>
          <w:sz w:val="21"/>
          <w:szCs w:val="21"/>
        </w:rPr>
      </w:pPr>
      <w:r>
        <w:rPr>
          <w:rStyle w:val="6"/>
          <w:rFonts w:hint="default" w:ascii="仿宋_GB2312" w:hAnsi="Verdana" w:eastAsia="仿宋_GB2312" w:cs="仿宋_GB2312"/>
          <w:b/>
          <w:i w:val="0"/>
          <w:caps w:val="0"/>
          <w:color w:val="484747"/>
          <w:spacing w:val="0"/>
          <w:sz w:val="31"/>
          <w:szCs w:val="31"/>
          <w:bdr w:val="none" w:color="auto" w:sz="0" w:space="0"/>
          <w:shd w:val="clear" w:fill="FFFFFF"/>
        </w:rPr>
        <w:t>六、政府采购预算情况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Verdana" w:hAnsi="Verdana" w:eastAsia="Verdana" w:cs="Verdana"/>
          <w:color w:val="484747"/>
          <w:sz w:val="21"/>
          <w:szCs w:val="21"/>
        </w:rPr>
      </w:pPr>
      <w:r>
        <w:rPr>
          <w:rFonts w:hint="default" w:ascii="仿宋_GB2312" w:hAnsi="Verdana" w:eastAsia="仿宋_GB2312" w:cs="仿宋_GB2312"/>
          <w:i w:val="0"/>
          <w:caps w:val="0"/>
          <w:color w:val="484747"/>
          <w:spacing w:val="0"/>
          <w:sz w:val="31"/>
          <w:szCs w:val="31"/>
          <w:bdr w:val="none" w:color="auto" w:sz="0" w:space="0"/>
          <w:shd w:val="clear" w:fill="FFFFFF"/>
        </w:rPr>
        <w:t>2016年本部门政府采购预算安排10.78万元，其中一般公共预算拨款安排10.78万元，涉及2个单位的14个项目，采购物品主要是电脑、打印机、复印机等，主要用于日常工作运转。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rPr>
          <w:rFonts w:hint="default" w:ascii="Verdana" w:hAnsi="Verdana" w:eastAsia="Verdana" w:cs="Verdana"/>
          <w:color w:val="484747"/>
          <w:sz w:val="21"/>
          <w:szCs w:val="21"/>
        </w:rPr>
      </w:pPr>
      <w:r>
        <w:rPr>
          <w:rStyle w:val="6"/>
          <w:rFonts w:hint="default" w:ascii="仿宋_GB2312" w:hAnsi="Verdana" w:eastAsia="仿宋_GB2312" w:cs="仿宋_GB2312"/>
          <w:b/>
          <w:i w:val="0"/>
          <w:caps w:val="0"/>
          <w:color w:val="484747"/>
          <w:spacing w:val="0"/>
          <w:sz w:val="31"/>
          <w:szCs w:val="31"/>
          <w:bdr w:val="none" w:color="auto" w:sz="0" w:space="0"/>
          <w:shd w:val="clear" w:fill="FFFFFF"/>
        </w:rPr>
        <w:t>七、名词解释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Verdana" w:hAnsi="Verdana" w:eastAsia="Verdana" w:cs="Verdana"/>
          <w:color w:val="484747"/>
          <w:sz w:val="21"/>
          <w:szCs w:val="21"/>
        </w:rPr>
      </w:pPr>
      <w:r>
        <w:rPr>
          <w:rFonts w:hint="default" w:ascii="仿宋_GB2312" w:hAnsi="Verdana" w:eastAsia="仿宋_GB2312" w:cs="仿宋_GB2312"/>
          <w:i w:val="0"/>
          <w:caps w:val="0"/>
          <w:color w:val="484747"/>
          <w:spacing w:val="0"/>
          <w:sz w:val="31"/>
          <w:szCs w:val="31"/>
          <w:bdr w:val="none" w:color="auto" w:sz="0" w:space="0"/>
          <w:shd w:val="clear" w:fill="FFFFFF"/>
        </w:rPr>
        <w:t>1、一般公共预算拨款收入：指财政当年使用一般公共预算收入安排到部门的预算资金。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Verdana" w:hAnsi="Verdana" w:eastAsia="Verdana" w:cs="Verdana"/>
          <w:color w:val="484747"/>
          <w:sz w:val="21"/>
          <w:szCs w:val="21"/>
        </w:rPr>
      </w:pPr>
      <w:r>
        <w:rPr>
          <w:rFonts w:hint="default" w:ascii="仿宋_GB2312" w:hAnsi="Verdana" w:eastAsia="仿宋_GB2312" w:cs="仿宋_GB2312"/>
          <w:i w:val="0"/>
          <w:caps w:val="0"/>
          <w:color w:val="484747"/>
          <w:spacing w:val="0"/>
          <w:sz w:val="31"/>
          <w:szCs w:val="31"/>
          <w:bdr w:val="none" w:color="auto" w:sz="0" w:space="0"/>
          <w:shd w:val="clear" w:fill="FFFFFF"/>
        </w:rPr>
        <w:t>2、基金预算拨款收入：指指财政当年使用政府性基金预算收入安排到部门的预算资金。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Verdana" w:hAnsi="Verdana" w:eastAsia="Verdana" w:cs="Verdana"/>
          <w:color w:val="484747"/>
          <w:sz w:val="21"/>
          <w:szCs w:val="21"/>
        </w:rPr>
      </w:pPr>
      <w:r>
        <w:rPr>
          <w:rFonts w:hint="default" w:ascii="仿宋_GB2312" w:hAnsi="Verdana" w:eastAsia="仿宋_GB2312" w:cs="仿宋_GB2312"/>
          <w:i w:val="0"/>
          <w:caps w:val="0"/>
          <w:color w:val="484747"/>
          <w:spacing w:val="0"/>
          <w:sz w:val="31"/>
          <w:szCs w:val="31"/>
          <w:bdr w:val="none" w:color="auto" w:sz="0" w:space="0"/>
          <w:shd w:val="clear" w:fill="FFFFFF"/>
        </w:rPr>
        <w:t>3、基本支出：指为保障机构正常运转、完成日常工作任务而发生的人员支出和公用支出。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Verdana" w:hAnsi="Verdana" w:eastAsia="Verdana" w:cs="Verdana"/>
          <w:color w:val="484747"/>
          <w:sz w:val="21"/>
          <w:szCs w:val="21"/>
        </w:rPr>
      </w:pPr>
      <w:r>
        <w:rPr>
          <w:rFonts w:hint="default" w:ascii="仿宋_GB2312" w:hAnsi="Verdana" w:eastAsia="仿宋_GB2312" w:cs="仿宋_GB2312"/>
          <w:i w:val="0"/>
          <w:caps w:val="0"/>
          <w:color w:val="484747"/>
          <w:spacing w:val="0"/>
          <w:sz w:val="31"/>
          <w:szCs w:val="31"/>
          <w:bdr w:val="none" w:color="auto" w:sz="0" w:space="0"/>
          <w:shd w:val="clear" w:fill="FFFFFF"/>
        </w:rPr>
        <w:t>4、项目支出：指在基本支出之外为完成特定行政任务和事业发展目标所发生的支出。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Verdana" w:hAnsi="Verdana" w:eastAsia="Verdana" w:cs="Verdana"/>
          <w:color w:val="484747"/>
          <w:sz w:val="21"/>
          <w:szCs w:val="21"/>
        </w:rPr>
      </w:pPr>
      <w:r>
        <w:rPr>
          <w:rFonts w:hint="default" w:ascii="仿宋_GB2312" w:hAnsi="Verdana" w:eastAsia="仿宋_GB2312" w:cs="仿宋_GB2312"/>
          <w:i w:val="0"/>
          <w:caps w:val="0"/>
          <w:color w:val="484747"/>
          <w:spacing w:val="0"/>
          <w:sz w:val="31"/>
          <w:szCs w:val="31"/>
          <w:bdr w:val="none" w:color="auto" w:sz="0" w:space="0"/>
          <w:shd w:val="clear" w:fill="FFFFFF"/>
        </w:rPr>
        <w:t>5、“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及租用费、燃料费、维修费、过路过桥费、保险费、安全奖励费用等支出。公务接待费反映单位按规定开支的各类公务接待（含外宾接待）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Verdana" w:hAnsi="Verdana" w:eastAsia="Verdana" w:cs="Verdana"/>
          <w:color w:val="484747"/>
          <w:sz w:val="21"/>
          <w:szCs w:val="21"/>
        </w:rPr>
      </w:pPr>
      <w:r>
        <w:rPr>
          <w:rStyle w:val="6"/>
          <w:rFonts w:hint="default" w:ascii="仿宋_GB2312" w:hAnsi="Verdana" w:eastAsia="仿宋_GB2312" w:cs="仿宋_GB2312"/>
          <w:b/>
          <w:i w:val="0"/>
          <w:caps w:val="0"/>
          <w:color w:val="484747"/>
          <w:spacing w:val="0"/>
          <w:sz w:val="31"/>
          <w:szCs w:val="31"/>
          <w:bdr w:val="none" w:color="auto" w:sz="0" w:space="0"/>
          <w:shd w:val="clear" w:fill="FFFFFF"/>
        </w:rPr>
        <w:t>八、部门预算相关表格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Verdana" w:hAnsi="Verdana" w:eastAsia="Verdana" w:cs="Verdana"/>
          <w:color w:val="484747"/>
          <w:sz w:val="21"/>
          <w:szCs w:val="21"/>
        </w:rPr>
      </w:pPr>
      <w:r>
        <w:rPr>
          <w:rFonts w:hint="default" w:ascii="仿宋_GB2312" w:hAnsi="Verdana" w:eastAsia="仿宋_GB2312" w:cs="仿宋_GB2312"/>
          <w:i w:val="0"/>
          <w:caps w:val="0"/>
          <w:color w:val="484747"/>
          <w:spacing w:val="0"/>
          <w:sz w:val="31"/>
          <w:szCs w:val="31"/>
          <w:bdr w:val="none" w:color="auto" w:sz="0" w:space="0"/>
          <w:shd w:val="clear" w:fill="FFFFFF"/>
        </w:rPr>
        <w:t>（一）部门及所属单位整体预算表（12张）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Verdana" w:hAnsi="Verdana" w:eastAsia="Verdana" w:cs="Verdana"/>
          <w:color w:val="484747"/>
          <w:sz w:val="21"/>
          <w:szCs w:val="21"/>
        </w:rPr>
      </w:pPr>
      <w:r>
        <w:rPr>
          <w:rFonts w:hint="default" w:ascii="仿宋_GB2312" w:hAnsi="Verdana" w:eastAsia="仿宋_GB2312" w:cs="仿宋_GB2312"/>
          <w:i w:val="0"/>
          <w:caps w:val="0"/>
          <w:color w:val="484747"/>
          <w:spacing w:val="0"/>
          <w:sz w:val="31"/>
          <w:szCs w:val="31"/>
          <w:bdr w:val="none" w:color="auto" w:sz="0" w:space="0"/>
          <w:shd w:val="clear" w:fill="FFFFFF"/>
        </w:rPr>
        <w:t>（二）机关预算表（12张）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920F6"/>
    <w:rsid w:val="0FC920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2021-04-01T06:49:00Z</dcterms:created>
  <dc:creator>爱琴海gxh</dc:creator>
  <cp:lastModifiedBy>爱琴海gxh</cp:lastModifiedBy>
  <dcterms:modified xsi:type="dcterms:W3CDTF">2021-04-01T06:50:20Z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